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708"/>
        <w:gridCol w:w="5040"/>
      </w:tblGrid>
      <w:tr w:rsidR="00C67D64" w:rsidRPr="00C67D64" w14:paraId="59120659" w14:textId="77777777" w:rsidTr="00C67D64">
        <w:tc>
          <w:tcPr>
            <w:tcW w:w="3708" w:type="dxa"/>
            <w:shd w:val="clear" w:color="auto" w:fill="FFFFFF"/>
            <w:tcMar>
              <w:top w:w="0" w:type="dxa"/>
              <w:left w:w="108" w:type="dxa"/>
              <w:bottom w:w="0" w:type="dxa"/>
              <w:right w:w="108" w:type="dxa"/>
            </w:tcMar>
            <w:hideMark/>
          </w:tcPr>
          <w:p w14:paraId="264AF072" w14:textId="77777777" w:rsidR="00C67D64" w:rsidRPr="00C67D64" w:rsidRDefault="00C67D64" w:rsidP="00C67D64">
            <w:pPr>
              <w:spacing w:after="120" w:line="240" w:lineRule="auto"/>
              <w:jc w:val="center"/>
              <w:rPr>
                <w:rFonts w:eastAsia="Times New Roman" w:cs="Times New Roman"/>
                <w:color w:val="000000"/>
                <w:sz w:val="24"/>
                <w:szCs w:val="24"/>
              </w:rPr>
            </w:pPr>
            <w:r w:rsidRPr="00C67D64">
              <w:rPr>
                <w:rFonts w:eastAsia="Times New Roman" w:cs="Times New Roman"/>
                <w:b/>
                <w:bCs/>
                <w:color w:val="000000"/>
                <w:sz w:val="24"/>
                <w:szCs w:val="24"/>
              </w:rPr>
              <w:t>THE PRIME MINISTER</w:t>
            </w:r>
            <w:r w:rsidRPr="00C67D64">
              <w:rPr>
                <w:rFonts w:eastAsia="Times New Roman" w:cs="Times New Roman"/>
                <w:b/>
                <w:bCs/>
                <w:color w:val="000000"/>
                <w:sz w:val="24"/>
                <w:szCs w:val="24"/>
              </w:rPr>
              <w:br/>
              <w:t>-------</w:t>
            </w:r>
          </w:p>
        </w:tc>
        <w:tc>
          <w:tcPr>
            <w:tcW w:w="5040" w:type="dxa"/>
            <w:shd w:val="clear" w:color="auto" w:fill="FFFFFF"/>
            <w:tcMar>
              <w:top w:w="0" w:type="dxa"/>
              <w:left w:w="108" w:type="dxa"/>
              <w:bottom w:w="0" w:type="dxa"/>
              <w:right w:w="108" w:type="dxa"/>
            </w:tcMar>
            <w:hideMark/>
          </w:tcPr>
          <w:p w14:paraId="23F715F4" w14:textId="77777777" w:rsidR="00C67D64" w:rsidRPr="00C67D64" w:rsidRDefault="00C67D64" w:rsidP="00C67D64">
            <w:pPr>
              <w:spacing w:after="120" w:line="240" w:lineRule="auto"/>
              <w:jc w:val="center"/>
              <w:rPr>
                <w:rFonts w:eastAsia="Times New Roman" w:cs="Times New Roman"/>
                <w:color w:val="000000"/>
                <w:sz w:val="24"/>
                <w:szCs w:val="24"/>
              </w:rPr>
            </w:pPr>
            <w:r w:rsidRPr="00C67D64">
              <w:rPr>
                <w:rFonts w:eastAsia="Times New Roman" w:cs="Times New Roman"/>
                <w:b/>
                <w:bCs/>
                <w:color w:val="000000"/>
                <w:sz w:val="24"/>
                <w:szCs w:val="24"/>
              </w:rPr>
              <w:t>SOCIALIST</w:t>
            </w:r>
            <w:r w:rsidRPr="00C67D64">
              <w:rPr>
                <w:rFonts w:eastAsia="Times New Roman" w:cs="Times New Roman"/>
                <w:color w:val="000000"/>
                <w:sz w:val="24"/>
                <w:szCs w:val="24"/>
              </w:rPr>
              <w:t> </w:t>
            </w:r>
            <w:r w:rsidRPr="00C67D64">
              <w:rPr>
                <w:rFonts w:eastAsia="Times New Roman" w:cs="Times New Roman"/>
                <w:b/>
                <w:bCs/>
                <w:color w:val="000000"/>
                <w:sz w:val="24"/>
                <w:szCs w:val="24"/>
              </w:rPr>
              <w:t>REPUBLIC</w:t>
            </w:r>
            <w:r w:rsidRPr="00C67D64">
              <w:rPr>
                <w:rFonts w:eastAsia="Times New Roman" w:cs="Times New Roman"/>
                <w:b/>
                <w:bCs/>
                <w:color w:val="000000"/>
                <w:spacing w:val="-2"/>
                <w:sz w:val="24"/>
                <w:szCs w:val="24"/>
              </w:rPr>
              <w:t> </w:t>
            </w:r>
            <w:r w:rsidRPr="00C67D64">
              <w:rPr>
                <w:rFonts w:eastAsia="Times New Roman" w:cs="Times New Roman"/>
                <w:b/>
                <w:bCs/>
                <w:color w:val="000000"/>
                <w:sz w:val="24"/>
                <w:szCs w:val="24"/>
              </w:rPr>
              <w:t>OF VIETNAM Indep</w:t>
            </w:r>
            <w:r w:rsidRPr="00C67D64">
              <w:rPr>
                <w:rFonts w:eastAsia="Times New Roman" w:cs="Times New Roman"/>
                <w:b/>
                <w:bCs/>
                <w:color w:val="000000"/>
                <w:spacing w:val="-1"/>
                <w:sz w:val="24"/>
                <w:szCs w:val="24"/>
              </w:rPr>
              <w:t>e</w:t>
            </w:r>
            <w:r w:rsidRPr="00C67D64">
              <w:rPr>
                <w:rFonts w:eastAsia="Times New Roman" w:cs="Times New Roman"/>
                <w:b/>
                <w:bCs/>
                <w:color w:val="000000"/>
                <w:sz w:val="24"/>
                <w:szCs w:val="24"/>
              </w:rPr>
              <w:t>nd</w:t>
            </w:r>
            <w:r w:rsidRPr="00C67D64">
              <w:rPr>
                <w:rFonts w:eastAsia="Times New Roman" w:cs="Times New Roman"/>
                <w:b/>
                <w:bCs/>
                <w:color w:val="000000"/>
                <w:spacing w:val="-1"/>
                <w:sz w:val="24"/>
                <w:szCs w:val="24"/>
              </w:rPr>
              <w:t>e</w:t>
            </w:r>
            <w:r w:rsidRPr="00C67D64">
              <w:rPr>
                <w:rFonts w:eastAsia="Times New Roman" w:cs="Times New Roman"/>
                <w:b/>
                <w:bCs/>
                <w:color w:val="000000"/>
                <w:sz w:val="24"/>
                <w:szCs w:val="24"/>
              </w:rPr>
              <w:t>nce - Fr</w:t>
            </w:r>
            <w:r w:rsidRPr="00C67D64">
              <w:rPr>
                <w:rFonts w:eastAsia="Times New Roman" w:cs="Times New Roman"/>
                <w:b/>
                <w:bCs/>
                <w:color w:val="000000"/>
                <w:spacing w:val="-1"/>
                <w:sz w:val="24"/>
                <w:szCs w:val="24"/>
              </w:rPr>
              <w:t>e</w:t>
            </w:r>
            <w:r w:rsidRPr="00C67D64">
              <w:rPr>
                <w:rFonts w:eastAsia="Times New Roman" w:cs="Times New Roman"/>
                <w:b/>
                <w:bCs/>
                <w:color w:val="000000"/>
                <w:sz w:val="24"/>
                <w:szCs w:val="24"/>
              </w:rPr>
              <w:t>edom</w:t>
            </w:r>
            <w:r w:rsidRPr="00C67D64">
              <w:rPr>
                <w:rFonts w:eastAsia="Times New Roman" w:cs="Times New Roman"/>
                <w:b/>
                <w:bCs/>
                <w:color w:val="000000"/>
                <w:spacing w:val="-1"/>
                <w:sz w:val="24"/>
                <w:szCs w:val="24"/>
              </w:rPr>
              <w:t> </w:t>
            </w:r>
            <w:r w:rsidRPr="00C67D64">
              <w:rPr>
                <w:rFonts w:eastAsia="Times New Roman" w:cs="Times New Roman"/>
                <w:b/>
                <w:bCs/>
                <w:color w:val="000000"/>
                <w:sz w:val="24"/>
                <w:szCs w:val="24"/>
              </w:rPr>
              <w:t>– Happ</w:t>
            </w:r>
            <w:r w:rsidRPr="00C67D64">
              <w:rPr>
                <w:rFonts w:eastAsia="Times New Roman" w:cs="Times New Roman"/>
                <w:b/>
                <w:bCs/>
                <w:color w:val="000000"/>
                <w:spacing w:val="-1"/>
                <w:sz w:val="24"/>
                <w:szCs w:val="24"/>
              </w:rPr>
              <w:t>i</w:t>
            </w:r>
            <w:r w:rsidRPr="00C67D64">
              <w:rPr>
                <w:rFonts w:eastAsia="Times New Roman" w:cs="Times New Roman"/>
                <w:b/>
                <w:bCs/>
                <w:color w:val="000000"/>
                <w:sz w:val="24"/>
                <w:szCs w:val="24"/>
              </w:rPr>
              <w:t>n</w:t>
            </w:r>
            <w:r w:rsidRPr="00C67D64">
              <w:rPr>
                <w:rFonts w:eastAsia="Times New Roman" w:cs="Times New Roman"/>
                <w:b/>
                <w:bCs/>
                <w:color w:val="000000"/>
                <w:spacing w:val="-1"/>
                <w:sz w:val="24"/>
                <w:szCs w:val="24"/>
              </w:rPr>
              <w:t>e</w:t>
            </w:r>
            <w:r w:rsidRPr="00C67D64">
              <w:rPr>
                <w:rFonts w:eastAsia="Times New Roman" w:cs="Times New Roman"/>
                <w:b/>
                <w:bCs/>
                <w:color w:val="000000"/>
                <w:sz w:val="24"/>
                <w:szCs w:val="24"/>
              </w:rPr>
              <w:t>ss</w:t>
            </w:r>
            <w:r w:rsidRPr="00C67D64">
              <w:rPr>
                <w:rFonts w:eastAsia="Times New Roman" w:cs="Times New Roman"/>
                <w:b/>
                <w:bCs/>
                <w:color w:val="000000"/>
                <w:sz w:val="24"/>
                <w:szCs w:val="24"/>
              </w:rPr>
              <w:br/>
            </w:r>
            <w:bookmarkStart w:id="0" w:name="_GoBack"/>
            <w:bookmarkEnd w:id="0"/>
            <w:r w:rsidRPr="00C67D64">
              <w:rPr>
                <w:rFonts w:eastAsia="Times New Roman" w:cs="Times New Roman"/>
                <w:b/>
                <w:bCs/>
                <w:color w:val="000000"/>
                <w:sz w:val="24"/>
                <w:szCs w:val="24"/>
              </w:rPr>
              <w:t>----------</w:t>
            </w:r>
          </w:p>
        </w:tc>
      </w:tr>
      <w:tr w:rsidR="00C67D64" w:rsidRPr="00C67D64" w14:paraId="44F3A72D" w14:textId="77777777" w:rsidTr="00C67D64">
        <w:tc>
          <w:tcPr>
            <w:tcW w:w="3708" w:type="dxa"/>
            <w:shd w:val="clear" w:color="auto" w:fill="FFFFFF"/>
            <w:tcMar>
              <w:top w:w="0" w:type="dxa"/>
              <w:left w:w="108" w:type="dxa"/>
              <w:bottom w:w="0" w:type="dxa"/>
              <w:right w:w="108" w:type="dxa"/>
            </w:tcMar>
            <w:hideMark/>
          </w:tcPr>
          <w:p w14:paraId="238A5837" w14:textId="77777777" w:rsidR="00C67D64" w:rsidRPr="00C67D64" w:rsidRDefault="00C67D64" w:rsidP="00C67D64">
            <w:pPr>
              <w:spacing w:after="120" w:line="240" w:lineRule="auto"/>
              <w:ind w:left="1440" w:hanging="1440"/>
              <w:jc w:val="center"/>
              <w:rPr>
                <w:rFonts w:eastAsia="Times New Roman" w:cs="Times New Roman"/>
                <w:color w:val="000000"/>
                <w:sz w:val="24"/>
                <w:szCs w:val="24"/>
              </w:rPr>
            </w:pPr>
            <w:r w:rsidRPr="00C67D64">
              <w:rPr>
                <w:rFonts w:eastAsia="Times New Roman" w:cs="Times New Roman"/>
                <w:color w:val="000000"/>
                <w:sz w:val="24"/>
                <w:szCs w:val="24"/>
              </w:rPr>
              <w:t>No. 1002/QD-TTG</w:t>
            </w:r>
          </w:p>
        </w:tc>
        <w:tc>
          <w:tcPr>
            <w:tcW w:w="5040" w:type="dxa"/>
            <w:shd w:val="clear" w:color="auto" w:fill="FFFFFF"/>
            <w:tcMar>
              <w:top w:w="0" w:type="dxa"/>
              <w:left w:w="108" w:type="dxa"/>
              <w:bottom w:w="0" w:type="dxa"/>
              <w:right w:w="108" w:type="dxa"/>
            </w:tcMar>
            <w:hideMark/>
          </w:tcPr>
          <w:p w14:paraId="0D6709E7" w14:textId="77777777" w:rsidR="00C67D64" w:rsidRPr="00C67D64" w:rsidRDefault="00C67D64" w:rsidP="00C67D64">
            <w:pPr>
              <w:spacing w:after="120" w:line="240" w:lineRule="auto"/>
              <w:jc w:val="right"/>
              <w:rPr>
                <w:rFonts w:eastAsia="Times New Roman" w:cs="Times New Roman"/>
                <w:color w:val="000000"/>
                <w:sz w:val="24"/>
                <w:szCs w:val="24"/>
              </w:rPr>
            </w:pPr>
            <w:r w:rsidRPr="00C67D64">
              <w:rPr>
                <w:rFonts w:eastAsia="Times New Roman" w:cs="Times New Roman"/>
                <w:i/>
                <w:iCs/>
                <w:color w:val="000000"/>
                <w:sz w:val="24"/>
                <w:szCs w:val="24"/>
              </w:rPr>
              <w:t xml:space="preserve">Ha </w:t>
            </w:r>
            <w:proofErr w:type="spellStart"/>
            <w:r w:rsidRPr="00C67D64">
              <w:rPr>
                <w:rFonts w:eastAsia="Times New Roman" w:cs="Times New Roman"/>
                <w:i/>
                <w:iCs/>
                <w:color w:val="000000"/>
                <w:sz w:val="24"/>
                <w:szCs w:val="24"/>
              </w:rPr>
              <w:t>Noi</w:t>
            </w:r>
            <w:proofErr w:type="spellEnd"/>
            <w:r w:rsidRPr="00C67D64">
              <w:rPr>
                <w:rFonts w:eastAsia="Times New Roman" w:cs="Times New Roman"/>
                <w:i/>
                <w:iCs/>
                <w:color w:val="000000"/>
                <w:sz w:val="24"/>
                <w:szCs w:val="24"/>
              </w:rPr>
              <w:t>, July 13, 2009</w:t>
            </w:r>
          </w:p>
        </w:tc>
      </w:tr>
    </w:tbl>
    <w:p w14:paraId="52615565" w14:textId="77777777" w:rsidR="00C67D64" w:rsidRPr="00C67D64" w:rsidRDefault="00C67D64" w:rsidP="00C67D64">
      <w:pPr>
        <w:shd w:val="clear" w:color="auto" w:fill="FFFFFF"/>
        <w:spacing w:after="120" w:line="240" w:lineRule="auto"/>
        <w:jc w:val="center"/>
        <w:rPr>
          <w:rFonts w:ascii="Arial" w:eastAsia="Times New Roman" w:hAnsi="Arial" w:cs="Arial"/>
          <w:color w:val="000000"/>
          <w:sz w:val="20"/>
          <w:szCs w:val="20"/>
        </w:rPr>
      </w:pPr>
      <w:r w:rsidRPr="00C67D64">
        <w:rPr>
          <w:rFonts w:ascii="Arial" w:eastAsia="Times New Roman" w:hAnsi="Arial" w:cs="Arial"/>
          <w:b/>
          <w:bCs/>
          <w:color w:val="000000"/>
          <w:sz w:val="20"/>
          <w:szCs w:val="20"/>
        </w:rPr>
        <w:t> </w:t>
      </w:r>
    </w:p>
    <w:p w14:paraId="7B15DAAE" w14:textId="77777777" w:rsidR="00C67D64" w:rsidRPr="00C67D64" w:rsidRDefault="00C67D64" w:rsidP="00C67D64">
      <w:pPr>
        <w:shd w:val="clear" w:color="auto" w:fill="FFFFFF"/>
        <w:spacing w:after="120" w:line="240" w:lineRule="auto"/>
        <w:jc w:val="center"/>
        <w:rPr>
          <w:rFonts w:ascii="Arial" w:eastAsia="Times New Roman" w:hAnsi="Arial" w:cs="Arial"/>
          <w:color w:val="000000"/>
          <w:sz w:val="20"/>
          <w:szCs w:val="20"/>
        </w:rPr>
      </w:pPr>
      <w:r w:rsidRPr="00C67D64">
        <w:rPr>
          <w:rFonts w:ascii="Arial" w:eastAsia="Times New Roman" w:hAnsi="Arial" w:cs="Arial"/>
          <w:b/>
          <w:bCs/>
          <w:color w:val="000000"/>
          <w:sz w:val="24"/>
          <w:szCs w:val="24"/>
        </w:rPr>
        <w:t>DECISION</w:t>
      </w:r>
    </w:p>
    <w:p w14:paraId="107340FF" w14:textId="77777777" w:rsidR="00C67D64" w:rsidRPr="00C67D64" w:rsidRDefault="00C67D64" w:rsidP="00C67D64">
      <w:pPr>
        <w:shd w:val="clear" w:color="auto" w:fill="FFFFFF"/>
        <w:spacing w:after="120" w:line="240" w:lineRule="auto"/>
        <w:jc w:val="center"/>
        <w:rPr>
          <w:rFonts w:ascii="Arial" w:eastAsia="Times New Roman" w:hAnsi="Arial" w:cs="Arial"/>
          <w:color w:val="000000"/>
          <w:sz w:val="20"/>
          <w:szCs w:val="20"/>
        </w:rPr>
      </w:pPr>
      <w:r w:rsidRPr="00C67D64">
        <w:rPr>
          <w:rFonts w:ascii="Arial" w:eastAsia="Times New Roman" w:hAnsi="Arial" w:cs="Arial"/>
          <w:color w:val="000000"/>
          <w:sz w:val="20"/>
          <w:szCs w:val="20"/>
        </w:rPr>
        <w:t>APPROVING THE SCHEME ON IMPROVEMENT OF COMMUNITY AWARENESS AND COMMUNITY-BASED MANAGEMENT OF NATURAL DISASTER RISKS</w:t>
      </w:r>
    </w:p>
    <w:p w14:paraId="30912CD0" w14:textId="77777777" w:rsidR="00C67D64" w:rsidRPr="00C67D64" w:rsidRDefault="00C67D64" w:rsidP="00C67D64">
      <w:pPr>
        <w:shd w:val="clear" w:color="auto" w:fill="FFFFFF"/>
        <w:spacing w:after="120" w:line="240" w:lineRule="auto"/>
        <w:jc w:val="center"/>
        <w:rPr>
          <w:rFonts w:ascii="Arial" w:eastAsia="Times New Roman" w:hAnsi="Arial" w:cs="Arial"/>
          <w:color w:val="000000"/>
          <w:sz w:val="20"/>
          <w:szCs w:val="20"/>
        </w:rPr>
      </w:pPr>
      <w:r w:rsidRPr="00C67D64">
        <w:rPr>
          <w:rFonts w:ascii="Arial" w:eastAsia="Times New Roman" w:hAnsi="Arial" w:cs="Arial"/>
          <w:b/>
          <w:bCs/>
          <w:color w:val="000000"/>
          <w:sz w:val="24"/>
          <w:szCs w:val="24"/>
        </w:rPr>
        <w:t>THE PRIME MINISTER</w:t>
      </w:r>
    </w:p>
    <w:p w14:paraId="4C70E78D"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i/>
          <w:iCs/>
          <w:color w:val="000000"/>
          <w:sz w:val="20"/>
          <w:szCs w:val="20"/>
        </w:rPr>
        <w:t>Pursuant to the December 25, 2001 Law on Organization of the Government;</w:t>
      </w:r>
      <w:r w:rsidRPr="00C67D64">
        <w:rPr>
          <w:rFonts w:ascii="Arial" w:eastAsia="Times New Roman" w:hAnsi="Arial" w:cs="Arial"/>
          <w:i/>
          <w:iCs/>
          <w:color w:val="000000"/>
          <w:sz w:val="20"/>
          <w:szCs w:val="20"/>
        </w:rPr>
        <w:br/>
        <w:t>Pursuant to the Prime Minister's Decision No. </w:t>
      </w:r>
      <w:r w:rsidR="005D670C">
        <w:fldChar w:fldCharType="begin"/>
      </w:r>
      <w:r w:rsidR="005D670C">
        <w:instrText xml:space="preserve"> HYPERLINK "http://hethongphapluatvietnam.com/docs/find-go/172/2007/QD-TTg&amp;area=2&amp;type=0&amp;match=False&amp;vc=True&amp;lan=0" \t "_blank" </w:instrText>
      </w:r>
      <w:r w:rsidR="005D670C">
        <w:fldChar w:fldCharType="separate"/>
      </w:r>
      <w:r w:rsidRPr="00C67D64">
        <w:rPr>
          <w:rFonts w:ascii="Arial" w:eastAsia="Times New Roman" w:hAnsi="Arial" w:cs="Arial"/>
          <w:i/>
          <w:iCs/>
          <w:color w:val="000000"/>
          <w:sz w:val="20"/>
        </w:rPr>
        <w:t>172/2007/</w:t>
      </w:r>
      <w:proofErr w:type="spellStart"/>
      <w:r w:rsidRPr="00C67D64">
        <w:rPr>
          <w:rFonts w:ascii="Arial" w:eastAsia="Times New Roman" w:hAnsi="Arial" w:cs="Arial"/>
          <w:i/>
          <w:iCs/>
          <w:color w:val="000000"/>
          <w:sz w:val="20"/>
        </w:rPr>
        <w:t>QD-TTg</w:t>
      </w:r>
      <w:proofErr w:type="spellEnd"/>
      <w:r w:rsidR="005D670C">
        <w:rPr>
          <w:rFonts w:ascii="Arial" w:eastAsia="Times New Roman" w:hAnsi="Arial" w:cs="Arial"/>
          <w:i/>
          <w:iCs/>
          <w:color w:val="000000"/>
          <w:sz w:val="20"/>
        </w:rPr>
        <w:fldChar w:fldCharType="end"/>
      </w:r>
      <w:r w:rsidRPr="00C67D64">
        <w:rPr>
          <w:rFonts w:ascii="Arial" w:eastAsia="Times New Roman" w:hAnsi="Arial" w:cs="Arial"/>
          <w:i/>
          <w:iCs/>
          <w:color w:val="000000"/>
          <w:sz w:val="20"/>
          <w:szCs w:val="20"/>
        </w:rPr>
        <w:t> of November 16, 2007, approving and issuing the national strategy on natural disaster prevention, combat and mitigation till 2020;</w:t>
      </w:r>
      <w:r w:rsidRPr="00C67D64">
        <w:rPr>
          <w:rFonts w:ascii="Arial" w:eastAsia="Times New Roman" w:hAnsi="Arial" w:cs="Arial"/>
          <w:i/>
          <w:iCs/>
          <w:color w:val="000000"/>
          <w:sz w:val="20"/>
          <w:szCs w:val="20"/>
        </w:rPr>
        <w:br/>
        <w:t>At the proposal of the Minister of Agriculture and Rural Development who is also Head of the Central Steering Committee for Flood and Storm Prevention and Control,</w:t>
      </w:r>
    </w:p>
    <w:p w14:paraId="226FEAB6" w14:textId="77777777" w:rsidR="00C67D64" w:rsidRPr="00C67D64" w:rsidRDefault="00C67D64" w:rsidP="00C67D64">
      <w:pPr>
        <w:shd w:val="clear" w:color="auto" w:fill="FFFFFF"/>
        <w:spacing w:after="120" w:line="240" w:lineRule="auto"/>
        <w:jc w:val="center"/>
        <w:rPr>
          <w:rFonts w:ascii="Arial" w:eastAsia="Times New Roman" w:hAnsi="Arial" w:cs="Arial"/>
          <w:color w:val="000000"/>
          <w:sz w:val="20"/>
          <w:szCs w:val="20"/>
        </w:rPr>
      </w:pPr>
      <w:r w:rsidRPr="00C67D64">
        <w:rPr>
          <w:rFonts w:ascii="Arial" w:eastAsia="Times New Roman" w:hAnsi="Arial" w:cs="Arial"/>
          <w:b/>
          <w:bCs/>
          <w:color w:val="000000"/>
          <w:sz w:val="24"/>
          <w:szCs w:val="24"/>
        </w:rPr>
        <w:t>DECIDES:</w:t>
      </w:r>
    </w:p>
    <w:p w14:paraId="3A8BFD77"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Article 1</w:t>
      </w:r>
      <w:proofErr w:type="gramStart"/>
      <w:r w:rsidRPr="00C67D64">
        <w:rPr>
          <w:rFonts w:ascii="Arial" w:eastAsia="Times New Roman" w:hAnsi="Arial" w:cs="Arial"/>
          <w:b/>
          <w:bCs/>
          <w:color w:val="000000"/>
          <w:sz w:val="20"/>
          <w:szCs w:val="20"/>
        </w:rPr>
        <w:t>.-</w:t>
      </w:r>
      <w:proofErr w:type="gramEnd"/>
      <w:r w:rsidRPr="00C67D64">
        <w:rPr>
          <w:rFonts w:ascii="Arial" w:eastAsia="Times New Roman" w:hAnsi="Arial" w:cs="Arial"/>
          <w:color w:val="000000"/>
          <w:sz w:val="20"/>
          <w:szCs w:val="20"/>
        </w:rPr>
        <w:t> To approve the Scheme on improvement of community awareness and community-based management of natural disaster risks, with the following principal contents:</w:t>
      </w:r>
    </w:p>
    <w:p w14:paraId="2787A4A9"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I. OBJECTIVES OF THE SCHEME</w:t>
      </w:r>
    </w:p>
    <w:p w14:paraId="19C4A67D"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Overall objectives:</w:t>
      </w:r>
    </w:p>
    <w:p w14:paraId="2833BAA4"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To improve community awareness and apply effective models of community-based management of natural disaster risks at all levels and in all sectors, especially among administrations and people of villages and communes, in order to minimize human and property losses, restrict the deterioration of natural resources, the environment and cultural heritages caused by natural disasters, contributing to ensuring national sustainable development, defense and security.</w:t>
      </w:r>
    </w:p>
    <w:p w14:paraId="638BE604"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Specific objectives:</w:t>
      </w:r>
    </w:p>
    <w:p w14:paraId="09040963" w14:textId="4EBA234D" w:rsidR="00C67D64" w:rsidRPr="0075239F"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75239F">
        <w:rPr>
          <w:rFonts w:ascii="Arial" w:eastAsia="Times New Roman" w:hAnsi="Arial" w:cs="Arial"/>
          <w:color w:val="000000"/>
          <w:sz w:val="20"/>
          <w:szCs w:val="20"/>
        </w:rPr>
        <w:t>To perfect mechanisms and policies on community-based management of natural disaster risks from central to local levels.</w:t>
      </w:r>
    </w:p>
    <w:p w14:paraId="7AE8DDF3" w14:textId="2ECD3155" w:rsidR="00C67D64" w:rsidRPr="0075239F"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75239F">
        <w:rPr>
          <w:rFonts w:ascii="Arial" w:eastAsia="Times New Roman" w:hAnsi="Arial" w:cs="Arial"/>
          <w:color w:val="000000"/>
          <w:sz w:val="20"/>
          <w:szCs w:val="20"/>
        </w:rPr>
        <w:t>To improve capacity of local administration officials who are directly involved in natural disaster prevention and combat, ensuring that by 2020 100% of these officials will be trained to improve their capacity and knowledge on natural disaster prevention, combat and mitigation.</w:t>
      </w:r>
    </w:p>
    <w:p w14:paraId="52979BF4" w14:textId="32B1E0D8" w:rsidR="00C67D64" w:rsidRPr="0075239F"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75239F">
        <w:rPr>
          <w:rFonts w:ascii="Arial" w:eastAsia="Times New Roman" w:hAnsi="Arial" w:cs="Arial"/>
          <w:color w:val="000000"/>
          <w:sz w:val="20"/>
          <w:szCs w:val="20"/>
        </w:rPr>
        <w:t>All villages and communes in areas highly prone to natural disasters to have disaster prevention plans, information and communication systems, core forces specializing in natural disaster mitigation, and a contingent of volunteers to guide and assist people in natural disaster prevention, combat and mitigation.</w:t>
      </w:r>
    </w:p>
    <w:p w14:paraId="1D46B00B" w14:textId="6252BB57" w:rsidR="00C67D64" w:rsidRPr="0075239F"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75239F">
        <w:rPr>
          <w:rFonts w:ascii="Arial" w:eastAsia="Times New Roman" w:hAnsi="Arial" w:cs="Arial"/>
          <w:color w:val="000000"/>
          <w:sz w:val="20"/>
          <w:szCs w:val="20"/>
        </w:rPr>
        <w:t>To disseminate knowledge about flood and storm prevention and control and natural disaster mitigation to 70% of population in communes in natural disaster-frequented areas.</w:t>
      </w:r>
    </w:p>
    <w:p w14:paraId="3BDC45A7" w14:textId="4A1DB720" w:rsidR="00C67D64" w:rsidRPr="0075239F"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75239F">
        <w:rPr>
          <w:rFonts w:ascii="Arial" w:eastAsia="Times New Roman" w:hAnsi="Arial" w:cs="Arial"/>
          <w:color w:val="000000"/>
          <w:sz w:val="20"/>
          <w:szCs w:val="20"/>
        </w:rPr>
        <w:t>To include knowledge on natural disaster prevention and mitigation in general schools' curricula.</w:t>
      </w:r>
    </w:p>
    <w:p w14:paraId="0C68DF3A"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II. TASKS AND SCALE OF THE SCHEME</w:t>
      </w:r>
    </w:p>
    <w:p w14:paraId="2E487975"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To ensure synchronism and maximize investment effectiveness, the Scheme consists of two closely interrelated components, including:</w:t>
      </w:r>
    </w:p>
    <w:p w14:paraId="2D6838A0" w14:textId="77777777" w:rsidR="00C67D64" w:rsidRPr="00C67D64" w:rsidRDefault="009F6CA6" w:rsidP="00C67D64">
      <w:pPr>
        <w:shd w:val="clear" w:color="auto" w:fill="FFFFFF"/>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C67D64" w:rsidRPr="00C67D64">
        <w:rPr>
          <w:rFonts w:ascii="Arial" w:eastAsia="Times New Roman" w:hAnsi="Arial" w:cs="Arial"/>
          <w:color w:val="000000"/>
          <w:sz w:val="20"/>
          <w:szCs w:val="20"/>
        </w:rPr>
        <w:t xml:space="preserve"> Component 1: Improving capacity of administration officials at all levels to manage and carry out community-based natural disaster management activities.</w:t>
      </w:r>
    </w:p>
    <w:p w14:paraId="125111AB"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This component aims at ensuring that 100% of officials at all levels who are directly involved in community-based natural disaster management be trained to improve their community-based natural disaster management capacity and skills. It covers the following activities:</w:t>
      </w:r>
    </w:p>
    <w:p w14:paraId="4B1F81CC" w14:textId="0C1F2F8A"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lastRenderedPageBreak/>
        <w:t>Formulating legal documents, unifying the management, and guiding and carrying out community-based natural disaster management activities at all levels and in communities.</w:t>
      </w:r>
    </w:p>
    <w:p w14:paraId="12C33D30" w14:textId="236F6BEB"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Strengthening natural disaster prevention, combat and management apparatuses of specialized agencies at all levels in provinces and centrally run cities.</w:t>
      </w:r>
    </w:p>
    <w:p w14:paraId="670F1840" w14:textId="048BE559"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Building up systems of training in community-based natural disaster management at all levels.</w:t>
      </w:r>
    </w:p>
    <w:p w14:paraId="492249D5" w14:textId="05EA4C0C"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Compiling sets of training materials (for both trainers and trainees) on policies, mechanisms and activities of community-based natural disaster management at all levels and in communities.</w:t>
      </w:r>
    </w:p>
    <w:p w14:paraId="43775083" w14:textId="08740B21"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Organizing training courses on policies, mechanisms and steps of community-based natural disaster management for local trainers, agencies and officials, and those personally involved in community-based natural disaster management at all levels.</w:t>
      </w:r>
    </w:p>
    <w:p w14:paraId="53588D27" w14:textId="66DBAF40"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Incorporating training programs to improve community-based natural disaster management capacity for administrations and professional trainers in annual programs and plans of action on natural disaster prevention, combat and mitigation at all levels, considering this an important activity.</w:t>
      </w:r>
    </w:p>
    <w:p w14:paraId="072BE9A9" w14:textId="14DF2848"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Equipping agencies and administrations at all levels with instruments in support of flood and storm prevention and control, and professional trainers with teaching aids on community-based natural disaster management.</w:t>
      </w:r>
    </w:p>
    <w:p w14:paraId="3AAFBFBA" w14:textId="50191990" w:rsidR="00C67D64" w:rsidRPr="00C67D64" w:rsidRDefault="00C67D64" w:rsidP="0075239F">
      <w:pPr>
        <w:pStyle w:val="ListParagraph"/>
        <w:numPr>
          <w:ilvl w:val="0"/>
          <w:numId w:val="3"/>
        </w:num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Embellishing, upgrading and building offices of provincial-level agencies specializing in flood and storm prevention and control and natural disaster mitigation.</w:t>
      </w:r>
    </w:p>
    <w:p w14:paraId="035B196B" w14:textId="77777777" w:rsidR="00C67D64" w:rsidRPr="00C67D64" w:rsidRDefault="009F6CA6" w:rsidP="00C67D64">
      <w:pPr>
        <w:shd w:val="clear" w:color="auto" w:fill="FFFFFF"/>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C67D64" w:rsidRPr="00C67D64">
        <w:rPr>
          <w:rFonts w:ascii="Arial" w:eastAsia="Times New Roman" w:hAnsi="Arial" w:cs="Arial"/>
          <w:color w:val="000000"/>
          <w:sz w:val="20"/>
          <w:szCs w:val="20"/>
        </w:rPr>
        <w:t xml:space="preserve"> Component 2: Enhancing communication and education, improving the community's capacity of managing natural disaster risks.</w:t>
      </w:r>
    </w:p>
    <w:p w14:paraId="58EABEFD"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This component aims at improving the community's capacity of mitigating natural disasters; disseminating knowledge about flood and storm prevention and control and natural disaster mitigation to over 70% of people in communes in natural disaster-frequented areas. It covers the following principal activities:</w:t>
      </w:r>
    </w:p>
    <w:p w14:paraId="40ADD4B0" w14:textId="700DF3C3"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Setting up task forces to carry out community-based natural disaster management activities (whose members are elected by the community).</w:t>
      </w:r>
    </w:p>
    <w:p w14:paraId="67C5498A" w14:textId="1B139CB7"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Making maps of natural disasters and the vulnerability of each community (the maps will be made by communities themselves based on the guidance of task forces in charge of community-based natural disaster management); making posters, maps and boards of instructions on major steps to prepare, cope with and overcome consequences of natural disasters, at the center of each community.</w:t>
      </w:r>
    </w:p>
    <w:p w14:paraId="16A318AA" w14:textId="3FAF5559"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Developing manuals on the community's fundamental activities of preparing, responding to and overcoming consequences of natural disasters in each period, pre-, during or post</w:t>
      </w:r>
      <w:r w:rsidR="009F6CA6" w:rsidRPr="00E22E68">
        <w:rPr>
          <w:rFonts w:ascii="Arial" w:eastAsia="Times New Roman" w:hAnsi="Arial" w:cs="Arial"/>
          <w:color w:val="000000"/>
          <w:sz w:val="20"/>
          <w:szCs w:val="20"/>
        </w:rPr>
        <w:t>-</w:t>
      </w:r>
      <w:r w:rsidRPr="00E22E68">
        <w:rPr>
          <w:rFonts w:ascii="Arial" w:eastAsia="Times New Roman" w:hAnsi="Arial" w:cs="Arial"/>
          <w:color w:val="000000"/>
          <w:sz w:val="20"/>
          <w:szCs w:val="20"/>
        </w:rPr>
        <w:softHyphen/>
        <w:t>disaster, as appropriate to each community's cultural traditions and socio-economic conditions.</w:t>
      </w:r>
    </w:p>
    <w:p w14:paraId="09F5E9F5" w14:textId="0C02EA73"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Annually, community members will gather and update information onto maps of natural disasters and vulnerability.</w:t>
      </w:r>
    </w:p>
    <w:p w14:paraId="3A1D1852" w14:textId="00CF439D"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Annually, each community will work out a plan on natural disaster risk prevention, combat and management, taking into account impacts of climate change.</w:t>
      </w:r>
    </w:p>
    <w:p w14:paraId="093AE419" w14:textId="24A740AF"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Community members will make a community development plan which is integrated with the natural disaster risk prevention, combat and management plan.</w:t>
      </w:r>
    </w:p>
    <w:p w14:paraId="334D528C" w14:textId="7991422A"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Organizing annual drills on natural disaster prevention, control and mitigation (involving the use of supportive equipment and instruments).</w:t>
      </w:r>
    </w:p>
    <w:p w14:paraId="386498EE" w14:textId="325059D4"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Establishing a community system of early warning and communication on natural disasters (involving the use of supportive equipment and instruments).</w:t>
      </w:r>
    </w:p>
    <w:p w14:paraId="064BB4A9" w14:textId="0F10DCD6"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Establishing a community system of evaluation and surveillance of natural disaster prevention, combat and mitigation activities.</w:t>
      </w:r>
    </w:p>
    <w:p w14:paraId="215E74D7" w14:textId="6C97AC20"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 xml:space="preserve">Regularly reporting on community-based natural disaster management activities via the </w:t>
      </w:r>
      <w:proofErr w:type="gramStart"/>
      <w:r w:rsidRPr="00E22E68">
        <w:rPr>
          <w:rFonts w:ascii="Arial" w:eastAsia="Times New Roman" w:hAnsi="Arial" w:cs="Arial"/>
          <w:color w:val="000000"/>
          <w:sz w:val="20"/>
          <w:szCs w:val="20"/>
        </w:rPr>
        <w:t>internet</w:t>
      </w:r>
      <w:proofErr w:type="gramEnd"/>
      <w:r w:rsidRPr="00E22E68">
        <w:rPr>
          <w:rFonts w:ascii="Arial" w:eastAsia="Times New Roman" w:hAnsi="Arial" w:cs="Arial"/>
          <w:color w:val="000000"/>
          <w:sz w:val="20"/>
          <w:szCs w:val="20"/>
        </w:rPr>
        <w:t>, television, radio, newspapers, posters and leaflets, etc.</w:t>
      </w:r>
    </w:p>
    <w:p w14:paraId="3FB50D7C" w14:textId="55E42A9C"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Compiling sets of training materials on natural disaster prevention, combat and mitigation in community (which will cover the process of managing natural disaster risks such as preparing and formulating plans, rescuing activities during natural disasters and post-disaster restoring and rehabilitating activities).</w:t>
      </w:r>
    </w:p>
    <w:p w14:paraId="1FD31C6D" w14:textId="2E5C373C"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Annually, organizing within community training classes on separate activities of community-based natural disaster management work (for specific target groups such as men. women, pupils or adults...)</w:t>
      </w:r>
    </w:p>
    <w:p w14:paraId="00F634ED" w14:textId="44361B51"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lastRenderedPageBreak/>
        <w:t>Organizing art performances on community-based natural disaster prevention, control and mitigation on festive occasions.</w:t>
      </w:r>
    </w:p>
    <w:p w14:paraId="00592BD6" w14:textId="56B8D44D" w:rsidR="00C67D64" w:rsidRPr="00E22E68" w:rsidRDefault="00C67D64" w:rsidP="00E22E68">
      <w:pPr>
        <w:pStyle w:val="ListParagraph"/>
        <w:numPr>
          <w:ilvl w:val="0"/>
          <w:numId w:val="4"/>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Building small-sized projects on community-based natural disaster prevention, combat and mitigation (roads to avoid floods, schools, infirmaries, clean water facilities...).</w:t>
      </w:r>
    </w:p>
    <w:p w14:paraId="77F36C02"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The action framework, implementation plan and fund are provided in Appendices I, II and III to this Decision (not printed herein).</w:t>
      </w:r>
    </w:p>
    <w:p w14:paraId="50838811"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III. TIME AND PLACE FOR IMPLEMENTATION OF THE SCHEME</w:t>
      </w:r>
    </w:p>
    <w:p w14:paraId="6107C193" w14:textId="509055B3"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 xml:space="preserve">The Scheme will be implemented for 12 years, from 2009 to 2020. </w:t>
      </w:r>
      <w:proofErr w:type="gramStart"/>
      <w:r w:rsidR="005D670C" w:rsidRPr="00C67D64">
        <w:rPr>
          <w:rFonts w:ascii="Arial" w:eastAsia="Times New Roman" w:hAnsi="Arial" w:cs="Arial"/>
          <w:color w:val="000000"/>
          <w:sz w:val="20"/>
          <w:szCs w:val="20"/>
        </w:rPr>
        <w:t>In</w:t>
      </w:r>
      <w:r w:rsidR="005D670C">
        <w:rPr>
          <w:rFonts w:ascii="Arial" w:eastAsia="Times New Roman" w:hAnsi="Arial" w:cs="Arial"/>
          <w:color w:val="000000"/>
          <w:sz w:val="20"/>
          <w:szCs w:val="20"/>
        </w:rPr>
        <w:t xml:space="preserve"> about 6,</w:t>
      </w:r>
      <w:r w:rsidRPr="00C67D64">
        <w:rPr>
          <w:rFonts w:ascii="Arial" w:eastAsia="Times New Roman" w:hAnsi="Arial" w:cs="Arial"/>
          <w:color w:val="000000"/>
          <w:sz w:val="20"/>
          <w:szCs w:val="20"/>
        </w:rPr>
        <w:t>000 natural disaster-frequented villages and communes nationwide.</w:t>
      </w:r>
      <w:proofErr w:type="gramEnd"/>
    </w:p>
    <w:p w14:paraId="019A1699"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IV. TOTAL INVESTMENT</w:t>
      </w:r>
    </w:p>
    <w:p w14:paraId="0F61982B"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The total investment required for implementation of the Scheme is estimated at VND 988.7 billion, to be allocated to the components as follows:</w:t>
      </w:r>
    </w:p>
    <w:p w14:paraId="2E176006" w14:textId="6B3B611F" w:rsidR="00C67D64" w:rsidRPr="00E22E68" w:rsidRDefault="00C67D64" w:rsidP="00E22E68">
      <w:pPr>
        <w:pStyle w:val="ListParagraph"/>
        <w:numPr>
          <w:ilvl w:val="0"/>
          <w:numId w:val="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Component 1: To improve local administration officials' capacity of managing and implementing community-based natural disaster management activities: VND 182.9 billion.</w:t>
      </w:r>
    </w:p>
    <w:p w14:paraId="51CB8036" w14:textId="44995804" w:rsidR="00C67D64" w:rsidRPr="00E22E68" w:rsidRDefault="00C67D64" w:rsidP="00E22E68">
      <w:pPr>
        <w:pStyle w:val="ListParagraph"/>
        <w:numPr>
          <w:ilvl w:val="0"/>
          <w:numId w:val="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Component 2: To improve the community-based natural disaster management capacity of the community: VND 805.8 billion</w:t>
      </w:r>
    </w:p>
    <w:p w14:paraId="07027864" w14:textId="77777777" w:rsidR="00C67D64" w:rsidRPr="00C67D64" w:rsidRDefault="009F6CA6" w:rsidP="00C67D64">
      <w:pPr>
        <w:shd w:val="clear" w:color="auto" w:fill="FFFFFF"/>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00C67D64" w:rsidRPr="00C67D64">
        <w:rPr>
          <w:rFonts w:ascii="Arial" w:eastAsia="Times New Roman" w:hAnsi="Arial" w:cs="Arial"/>
          <w:color w:val="000000"/>
          <w:sz w:val="20"/>
          <w:szCs w:val="20"/>
        </w:rPr>
        <w:t xml:space="preserve"> Financial mechanism:</w:t>
      </w:r>
    </w:p>
    <w:p w14:paraId="04D14B2E"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The total investment required for implementation of the Scheme is expected to be mobilized from the following sources:</w:t>
      </w:r>
    </w:p>
    <w:p w14:paraId="6C3DD5B0" w14:textId="2F3DFFCA" w:rsidR="00C67D64" w:rsidRPr="00E22E68" w:rsidRDefault="00C67D64" w:rsidP="00E22E68">
      <w:pPr>
        <w:pStyle w:val="ListParagraph"/>
        <w:numPr>
          <w:ilvl w:val="0"/>
          <w:numId w:val="8"/>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State budget: VND 546.9 billion (or 55%)</w:t>
      </w:r>
    </w:p>
    <w:p w14:paraId="1B3BA0B3" w14:textId="558D2F63" w:rsidR="00C67D64" w:rsidRPr="00E22E68" w:rsidRDefault="00C67D64" w:rsidP="00E22E68">
      <w:pPr>
        <w:pStyle w:val="ListParagraph"/>
        <w:numPr>
          <w:ilvl w:val="0"/>
          <w:numId w:val="8"/>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People's contributions: VND 46.322 billion (or 5%)</w:t>
      </w:r>
    </w:p>
    <w:p w14:paraId="5990ABE6" w14:textId="6DC1239B" w:rsidR="00C67D64" w:rsidRPr="00E22E68" w:rsidRDefault="00C67D64" w:rsidP="00E22E68">
      <w:pPr>
        <w:pStyle w:val="ListParagraph"/>
        <w:numPr>
          <w:ilvl w:val="0"/>
          <w:numId w:val="8"/>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Non-refundable aid from foreign governments and international organizations: VND 395.48 billion (or 40%).</w:t>
      </w:r>
    </w:p>
    <w:p w14:paraId="1E1F6B3A" w14:textId="77777777" w:rsidR="00C67D64" w:rsidRPr="00C67D64" w:rsidRDefault="009F6CA6" w:rsidP="00C67D64">
      <w:pPr>
        <w:shd w:val="clear" w:color="auto" w:fill="FFFFFF"/>
        <w:spacing w:after="12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00C67D64" w:rsidRPr="00C67D64">
        <w:rPr>
          <w:rFonts w:ascii="Arial" w:eastAsia="Times New Roman" w:hAnsi="Arial" w:cs="Arial"/>
          <w:color w:val="000000"/>
          <w:sz w:val="20"/>
          <w:szCs w:val="20"/>
        </w:rPr>
        <w:t xml:space="preserve"> Implementation and investment phases:</w:t>
      </w:r>
    </w:p>
    <w:p w14:paraId="36614D4A" w14:textId="729D7A01" w:rsidR="00C67D64" w:rsidRPr="00E22E68" w:rsidRDefault="00C67D64" w:rsidP="00E22E68">
      <w:pPr>
        <w:pStyle w:val="ListParagraph"/>
        <w:numPr>
          <w:ilvl w:val="0"/>
          <w:numId w:val="12"/>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Phase 1 (2009- 2010): VND 75.4 billion</w:t>
      </w:r>
    </w:p>
    <w:p w14:paraId="4DDED2B8" w14:textId="2034F577" w:rsidR="00C67D64" w:rsidRPr="00E22E68" w:rsidRDefault="00C67D64" w:rsidP="00E22E68">
      <w:pPr>
        <w:pStyle w:val="ListParagraph"/>
        <w:numPr>
          <w:ilvl w:val="0"/>
          <w:numId w:val="12"/>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Phase 2 (2011- 2015): VND 366.4 billion</w:t>
      </w:r>
    </w:p>
    <w:p w14:paraId="7846B794" w14:textId="05556880" w:rsidR="00C67D64" w:rsidRPr="00E22E68" w:rsidRDefault="00C67D64" w:rsidP="00E22E68">
      <w:pPr>
        <w:pStyle w:val="ListParagraph"/>
        <w:numPr>
          <w:ilvl w:val="0"/>
          <w:numId w:val="12"/>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Phase 3 (2016- 2020): VND 546.9 billion.</w:t>
      </w:r>
    </w:p>
    <w:p w14:paraId="4BFDA7B2"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Article 2</w:t>
      </w:r>
      <w:proofErr w:type="gramStart"/>
      <w:r w:rsidRPr="00C67D64">
        <w:rPr>
          <w:rFonts w:ascii="Arial" w:eastAsia="Times New Roman" w:hAnsi="Arial" w:cs="Arial"/>
          <w:b/>
          <w:bCs/>
          <w:color w:val="000000"/>
          <w:sz w:val="20"/>
          <w:szCs w:val="20"/>
        </w:rPr>
        <w:t>.-</w:t>
      </w:r>
      <w:proofErr w:type="gramEnd"/>
      <w:r w:rsidRPr="00C67D64">
        <w:rPr>
          <w:rFonts w:ascii="Arial" w:eastAsia="Times New Roman" w:hAnsi="Arial" w:cs="Arial"/>
          <w:color w:val="000000"/>
          <w:sz w:val="20"/>
          <w:szCs w:val="20"/>
        </w:rPr>
        <w:t> Organization of implementation</w:t>
      </w:r>
    </w:p>
    <w:p w14:paraId="5D17261D"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1. The Ministry of Agriculture and Rural Development and the National Steering Committee for Flood and Storm Prevention and Control shall assume the prime responsibility for implementing the Scheme and have the following responsibilities:</w:t>
      </w:r>
    </w:p>
    <w:p w14:paraId="5C1E0731" w14:textId="245F0F1F" w:rsidR="00C67D64" w:rsidRPr="00E22E68" w:rsidRDefault="00C67D64" w:rsidP="00E22E68">
      <w:pPr>
        <w:pStyle w:val="ListParagraph"/>
        <w:numPr>
          <w:ilvl w:val="0"/>
          <w:numId w:val="13"/>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To identify objectives, approve contents, calculate necessary costs and propose annual and five-year solutions, for implementation; coordinate with the Ministry of Planning and Investment and the Ministry of Finance in preparing funds and proposing fund allocations to ministries, sectors, provinces and cities to the Prime Minister for approval.</w:t>
      </w:r>
    </w:p>
    <w:p w14:paraId="0706C8C8" w14:textId="3DF6F921" w:rsidR="00C67D64" w:rsidRPr="00E22E68" w:rsidRDefault="00C67D64" w:rsidP="00E22E68">
      <w:pPr>
        <w:pStyle w:val="ListParagraph"/>
        <w:numPr>
          <w:ilvl w:val="0"/>
          <w:numId w:val="13"/>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To guide, inspect and urge the implemen</w:t>
      </w:r>
      <w:r w:rsidRPr="00E22E68">
        <w:rPr>
          <w:rFonts w:ascii="Arial" w:eastAsia="Times New Roman" w:hAnsi="Arial" w:cs="Arial"/>
          <w:color w:val="000000"/>
          <w:sz w:val="20"/>
          <w:szCs w:val="20"/>
        </w:rPr>
        <w:softHyphen/>
        <w:t>tation of the Scheme; act as the national coordinator in contacting international organizations in this regard.</w:t>
      </w:r>
    </w:p>
    <w:p w14:paraId="2A515C4D" w14:textId="2A0786F8" w:rsidR="00C67D64" w:rsidRPr="00E22E68" w:rsidRDefault="00C67D64" w:rsidP="00E22E68">
      <w:pPr>
        <w:pStyle w:val="ListParagraph"/>
        <w:numPr>
          <w:ilvl w:val="0"/>
          <w:numId w:val="13"/>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To conduct review, elaborate detailed plans of action and identify priorities based on plans of action of provinces and cities, and send them to ministries, sectors and localities for implementation.</w:t>
      </w:r>
    </w:p>
    <w:p w14:paraId="0E4EBFEE" w14:textId="6E4A5989" w:rsidR="00C67D64" w:rsidRPr="00E22E68" w:rsidRDefault="00C67D64" w:rsidP="00E22E68">
      <w:pPr>
        <w:pStyle w:val="ListParagraph"/>
        <w:numPr>
          <w:ilvl w:val="0"/>
          <w:numId w:val="13"/>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To inspect and supervise the implementation of the Scheme by localities</w:t>
      </w:r>
      <w:proofErr w:type="gramStart"/>
      <w:r w:rsidRPr="00E22E68">
        <w:rPr>
          <w:rFonts w:ascii="Arial" w:eastAsia="Times New Roman" w:hAnsi="Arial" w:cs="Arial"/>
          <w:color w:val="000000"/>
          <w:sz w:val="20"/>
          <w:szCs w:val="20"/>
        </w:rPr>
        <w:t>;</w:t>
      </w:r>
      <w:proofErr w:type="gramEnd"/>
      <w:r w:rsidRPr="00E22E68">
        <w:rPr>
          <w:rFonts w:ascii="Arial" w:eastAsia="Times New Roman" w:hAnsi="Arial" w:cs="Arial"/>
          <w:color w:val="000000"/>
          <w:sz w:val="20"/>
          <w:szCs w:val="20"/>
        </w:rPr>
        <w:t xml:space="preserve"> to conduct annual reviews and evaluations and draw experience.</w:t>
      </w:r>
    </w:p>
    <w:p w14:paraId="7E25CBA6"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2. The Ministry of Planning and Investment shall assume the prime responsibility for, and coordinate with the Ministry of Finance in, balancing and allocating budget, and seeking other financial sources for effective implementation of the Scheme.</w:t>
      </w:r>
    </w:p>
    <w:p w14:paraId="0B02965F"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 xml:space="preserve">3. The Ministry of Education and Training shall coordinate with the Ministry of Agriculture and Rural Development and the National Steering Committee for Flood and Storm Prevention and Control in </w:t>
      </w:r>
      <w:r w:rsidRPr="00C67D64">
        <w:rPr>
          <w:rFonts w:ascii="Arial" w:eastAsia="Times New Roman" w:hAnsi="Arial" w:cs="Arial"/>
          <w:color w:val="000000"/>
          <w:sz w:val="20"/>
          <w:szCs w:val="20"/>
        </w:rPr>
        <w:lastRenderedPageBreak/>
        <w:t>developing teaching materials and incorporating contents of natural disaster prevention, control and mitigation into intra- or extra-curricular teaching programs at primary and secondary schools.</w:t>
      </w:r>
    </w:p>
    <w:p w14:paraId="7D4F5FBF"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4. Other ministries and branches shall, within the ambit of their functions and tasks, coordinate with the Ministry of Agriculture and Rural Development, the National Steering Committee for Flood and Storm Prevention and Control and provincial People's Committees in organizing the implementation of this Scheme.</w:t>
      </w:r>
    </w:p>
    <w:p w14:paraId="69192D27"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5. Provinces and centrally run cities shall:</w:t>
      </w:r>
    </w:p>
    <w:p w14:paraId="05E61A4C" w14:textId="61406926" w:rsidR="00C67D64" w:rsidRPr="00E22E68" w:rsidRDefault="00C67D64" w:rsidP="00E22E68">
      <w:pPr>
        <w:pStyle w:val="ListParagraph"/>
        <w:numPr>
          <w:ilvl w:val="1"/>
          <w:numId w:val="1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Make and implement local plans in line with the Scheme.</w:t>
      </w:r>
    </w:p>
    <w:p w14:paraId="678B8304" w14:textId="4F75C95F" w:rsidR="00C67D64" w:rsidRPr="00E22E68" w:rsidRDefault="00C67D64" w:rsidP="00E22E68">
      <w:pPr>
        <w:pStyle w:val="ListParagraph"/>
        <w:numPr>
          <w:ilvl w:val="1"/>
          <w:numId w:val="1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Organize related activities as approved in the Scheme.</w:t>
      </w:r>
    </w:p>
    <w:p w14:paraId="6E2E0D23" w14:textId="4C348D31" w:rsidR="00C67D64" w:rsidRPr="00E22E68" w:rsidRDefault="00C67D64" w:rsidP="00E22E68">
      <w:pPr>
        <w:pStyle w:val="ListParagraph"/>
        <w:numPr>
          <w:ilvl w:val="1"/>
          <w:numId w:val="1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 xml:space="preserve">Ensure the proper and efficient use of funds of the Scheme, </w:t>
      </w:r>
      <w:r w:rsidR="005D670C">
        <w:rPr>
          <w:rFonts w:ascii="Arial" w:eastAsia="Times New Roman" w:hAnsi="Arial" w:cs="Arial"/>
          <w:color w:val="000000"/>
          <w:sz w:val="20"/>
          <w:szCs w:val="20"/>
        </w:rPr>
        <w:t xml:space="preserve">and </w:t>
      </w:r>
      <w:r w:rsidRPr="00E22E68">
        <w:rPr>
          <w:rFonts w:ascii="Arial" w:eastAsia="Times New Roman" w:hAnsi="Arial" w:cs="Arial"/>
          <w:color w:val="000000"/>
          <w:sz w:val="20"/>
          <w:szCs w:val="20"/>
        </w:rPr>
        <w:t>fight corruption and loss.</w:t>
      </w:r>
    </w:p>
    <w:p w14:paraId="77BAEC00" w14:textId="20F54FBF" w:rsidR="00C67D64" w:rsidRPr="00E22E68" w:rsidRDefault="00C67D64" w:rsidP="00E22E68">
      <w:pPr>
        <w:pStyle w:val="ListParagraph"/>
        <w:numPr>
          <w:ilvl w:val="1"/>
          <w:numId w:val="1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Take the initiative in mobilizing more resources and incorporating the Scheme's activities in related activities of other programs in localities so as to achieve the Scheme's objectives.</w:t>
      </w:r>
    </w:p>
    <w:p w14:paraId="58FCB89B" w14:textId="32954238" w:rsidR="00C67D64" w:rsidRPr="00E22E68" w:rsidRDefault="00C67D64" w:rsidP="00E22E68">
      <w:pPr>
        <w:pStyle w:val="ListParagraph"/>
        <w:numPr>
          <w:ilvl w:val="1"/>
          <w:numId w:val="16"/>
        </w:numPr>
        <w:shd w:val="clear" w:color="auto" w:fill="FFFFFF"/>
        <w:spacing w:after="120" w:line="240" w:lineRule="auto"/>
        <w:rPr>
          <w:rFonts w:ascii="Arial" w:eastAsia="Times New Roman" w:hAnsi="Arial" w:cs="Arial"/>
          <w:color w:val="000000"/>
          <w:sz w:val="20"/>
          <w:szCs w:val="20"/>
        </w:rPr>
      </w:pPr>
      <w:r w:rsidRPr="00E22E68">
        <w:rPr>
          <w:rFonts w:ascii="Arial" w:eastAsia="Times New Roman" w:hAnsi="Arial" w:cs="Arial"/>
          <w:color w:val="000000"/>
          <w:sz w:val="20"/>
          <w:szCs w:val="20"/>
        </w:rPr>
        <w:t>Identify geographical areas in which the Scheme will be implemented, and make periodical reports on the progress of implementation of the Scheme's targets and tasks in their provinces or cities according to regulations.</w:t>
      </w:r>
    </w:p>
    <w:p w14:paraId="7242EED8"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6. Socio-political organizations, businesses and people</w:t>
      </w:r>
    </w:p>
    <w:p w14:paraId="0CD1BAD3"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To improve community awareness and manage natural disasters based on community constitute a cause of the entire society. In the process of formulating policies and implemen</w:t>
      </w:r>
      <w:r w:rsidRPr="00C67D64">
        <w:rPr>
          <w:rFonts w:ascii="Arial" w:eastAsia="Times New Roman" w:hAnsi="Arial" w:cs="Arial"/>
          <w:color w:val="000000"/>
          <w:sz w:val="20"/>
          <w:szCs w:val="20"/>
        </w:rPr>
        <w:softHyphen/>
        <w:t>ting the Scheme's activities, apart from the state investment, it is necessary to involve socio</w:t>
      </w:r>
      <w:r w:rsidRPr="00C67D64">
        <w:rPr>
          <w:rFonts w:ascii="Arial" w:eastAsia="Times New Roman" w:hAnsi="Arial" w:cs="Arial"/>
          <w:color w:val="000000"/>
          <w:sz w:val="20"/>
          <w:szCs w:val="20"/>
        </w:rPr>
        <w:softHyphen/>
        <w:t>political organizations, businesses and people.</w:t>
      </w:r>
    </w:p>
    <w:p w14:paraId="64F8E8EC"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Article 3.</w:t>
      </w:r>
      <w:r w:rsidRPr="00C67D64">
        <w:rPr>
          <w:rFonts w:ascii="Arial" w:eastAsia="Times New Roman" w:hAnsi="Arial" w:cs="Arial"/>
          <w:color w:val="000000"/>
          <w:sz w:val="20"/>
          <w:szCs w:val="20"/>
        </w:rPr>
        <w:t> This Decision takes effect on the date of its signing.</w:t>
      </w:r>
    </w:p>
    <w:p w14:paraId="3C0C8F62"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b/>
          <w:bCs/>
          <w:color w:val="000000"/>
          <w:sz w:val="20"/>
          <w:szCs w:val="20"/>
        </w:rPr>
        <w:t>Article 4.</w:t>
      </w:r>
      <w:r w:rsidRPr="00C67D64">
        <w:rPr>
          <w:rFonts w:ascii="Arial" w:eastAsia="Times New Roman" w:hAnsi="Arial" w:cs="Arial"/>
          <w:color w:val="000000"/>
          <w:sz w:val="20"/>
          <w:szCs w:val="20"/>
        </w:rPr>
        <w:t> Ministers, heads of ministerial-level agencies, heads of government-attached agencies and chairpersons of provincial-level People's Committees shall implement this Decision.-</w:t>
      </w:r>
    </w:p>
    <w:p w14:paraId="48E580C9" w14:textId="77777777" w:rsidR="00C67D64" w:rsidRPr="00C67D64" w:rsidRDefault="00C67D64" w:rsidP="00C67D64">
      <w:pPr>
        <w:shd w:val="clear" w:color="auto" w:fill="FFFFFF"/>
        <w:spacing w:after="120" w:line="240" w:lineRule="auto"/>
        <w:rPr>
          <w:rFonts w:ascii="Arial" w:eastAsia="Times New Roman" w:hAnsi="Arial" w:cs="Arial"/>
          <w:color w:val="000000"/>
          <w:sz w:val="20"/>
          <w:szCs w:val="20"/>
        </w:rPr>
      </w:pPr>
      <w:r w:rsidRPr="00C67D64">
        <w:rPr>
          <w:rFonts w:ascii="Arial" w:eastAsia="Times New Roman" w:hAnsi="Arial" w:cs="Arial"/>
          <w:color w:val="000000"/>
          <w:sz w:val="20"/>
          <w:szCs w:val="20"/>
        </w:rPr>
        <w:t> </w:t>
      </w:r>
    </w:p>
    <w:tbl>
      <w:tblPr>
        <w:tblW w:w="0" w:type="auto"/>
        <w:shd w:val="clear" w:color="auto" w:fill="FFFFFF"/>
        <w:tblCellMar>
          <w:left w:w="0" w:type="dxa"/>
          <w:right w:w="0" w:type="dxa"/>
        </w:tblCellMar>
        <w:tblLook w:val="04A0" w:firstRow="1" w:lastRow="0" w:firstColumn="1" w:lastColumn="0" w:noHBand="0" w:noVBand="1"/>
      </w:tblPr>
      <w:tblGrid>
        <w:gridCol w:w="4784"/>
        <w:gridCol w:w="4792"/>
      </w:tblGrid>
      <w:tr w:rsidR="00C67D64" w:rsidRPr="00C67D64" w14:paraId="284E1D92" w14:textId="77777777" w:rsidTr="00C67D64">
        <w:trPr>
          <w:trHeight w:val="350"/>
        </w:trPr>
        <w:tc>
          <w:tcPr>
            <w:tcW w:w="4810" w:type="dxa"/>
            <w:shd w:val="clear" w:color="auto" w:fill="FFFFFF"/>
            <w:tcMar>
              <w:top w:w="0" w:type="dxa"/>
              <w:left w:w="108" w:type="dxa"/>
              <w:bottom w:w="0" w:type="dxa"/>
              <w:right w:w="108" w:type="dxa"/>
            </w:tcMar>
            <w:hideMark/>
          </w:tcPr>
          <w:p w14:paraId="278A8539" w14:textId="77777777" w:rsidR="00C67D64" w:rsidRPr="00C67D64" w:rsidRDefault="00C67D64" w:rsidP="00C67D64">
            <w:pPr>
              <w:spacing w:after="120" w:line="240" w:lineRule="auto"/>
              <w:rPr>
                <w:rFonts w:eastAsia="Times New Roman" w:cs="Times New Roman"/>
                <w:color w:val="000000"/>
                <w:sz w:val="24"/>
                <w:szCs w:val="24"/>
              </w:rPr>
            </w:pPr>
            <w:r w:rsidRPr="00C67D64">
              <w:rPr>
                <w:rFonts w:eastAsia="Times New Roman" w:cs="Times New Roman"/>
                <w:color w:val="000000"/>
                <w:sz w:val="24"/>
                <w:szCs w:val="24"/>
              </w:rPr>
              <w:t> </w:t>
            </w:r>
          </w:p>
        </w:tc>
        <w:tc>
          <w:tcPr>
            <w:tcW w:w="4811" w:type="dxa"/>
            <w:shd w:val="clear" w:color="auto" w:fill="FFFFFF"/>
            <w:tcMar>
              <w:top w:w="0" w:type="dxa"/>
              <w:left w:w="108" w:type="dxa"/>
              <w:bottom w:w="0" w:type="dxa"/>
              <w:right w:w="108" w:type="dxa"/>
            </w:tcMar>
            <w:hideMark/>
          </w:tcPr>
          <w:p w14:paraId="0825AC42" w14:textId="77777777" w:rsidR="00C67D64" w:rsidRPr="00C67D64" w:rsidRDefault="00C67D64" w:rsidP="00C67D64">
            <w:pPr>
              <w:spacing w:after="120" w:line="240" w:lineRule="auto"/>
              <w:jc w:val="center"/>
              <w:rPr>
                <w:rFonts w:eastAsia="Times New Roman" w:cs="Times New Roman"/>
                <w:color w:val="000000"/>
                <w:sz w:val="24"/>
                <w:szCs w:val="24"/>
              </w:rPr>
            </w:pPr>
            <w:r w:rsidRPr="00C67D64">
              <w:rPr>
                <w:rFonts w:eastAsia="Times New Roman" w:cs="Times New Roman"/>
                <w:b/>
                <w:bCs/>
                <w:color w:val="000000"/>
                <w:sz w:val="24"/>
                <w:szCs w:val="24"/>
              </w:rPr>
              <w:t>FOR THE PRIME MINISTER </w:t>
            </w:r>
            <w:r w:rsidRPr="00C67D64">
              <w:rPr>
                <w:rFonts w:eastAsia="Times New Roman" w:cs="Times New Roman"/>
                <w:b/>
                <w:bCs/>
                <w:color w:val="000000"/>
                <w:sz w:val="24"/>
                <w:szCs w:val="24"/>
              </w:rPr>
              <w:br/>
              <w:t>DEPUTY PRIME MINISTER </w:t>
            </w:r>
            <w:r w:rsidRPr="00C67D64">
              <w:rPr>
                <w:rFonts w:eastAsia="Times New Roman" w:cs="Times New Roman"/>
                <w:b/>
                <w:bCs/>
                <w:color w:val="000000"/>
                <w:sz w:val="24"/>
                <w:szCs w:val="24"/>
              </w:rPr>
              <w:br/>
            </w:r>
            <w:r w:rsidRPr="00C67D64">
              <w:rPr>
                <w:rFonts w:eastAsia="Times New Roman" w:cs="Times New Roman"/>
                <w:b/>
                <w:bCs/>
                <w:color w:val="000000"/>
                <w:sz w:val="24"/>
                <w:szCs w:val="24"/>
              </w:rPr>
              <w:br/>
            </w:r>
            <w:r w:rsidRPr="00C67D64">
              <w:rPr>
                <w:rFonts w:eastAsia="Times New Roman" w:cs="Times New Roman"/>
                <w:b/>
                <w:bCs/>
                <w:color w:val="000000"/>
                <w:sz w:val="24"/>
                <w:szCs w:val="24"/>
              </w:rPr>
              <w:br/>
            </w:r>
            <w:r w:rsidRPr="00C67D64">
              <w:rPr>
                <w:rFonts w:eastAsia="Times New Roman" w:cs="Times New Roman"/>
                <w:b/>
                <w:bCs/>
                <w:color w:val="000000"/>
                <w:sz w:val="24"/>
                <w:szCs w:val="24"/>
              </w:rPr>
              <w:br/>
            </w:r>
            <w:r w:rsidRPr="00C67D64">
              <w:rPr>
                <w:rFonts w:eastAsia="Times New Roman" w:cs="Times New Roman"/>
                <w:color w:val="000000"/>
                <w:sz w:val="24"/>
                <w:szCs w:val="24"/>
              </w:rPr>
              <w:br/>
            </w:r>
            <w:r w:rsidRPr="00C67D64">
              <w:rPr>
                <w:rFonts w:eastAsia="Times New Roman" w:cs="Times New Roman"/>
                <w:b/>
                <w:bCs/>
                <w:color w:val="000000"/>
                <w:sz w:val="24"/>
                <w:szCs w:val="24"/>
              </w:rPr>
              <w:t xml:space="preserve">Hoang </w:t>
            </w:r>
            <w:proofErr w:type="spellStart"/>
            <w:r w:rsidRPr="00C67D64">
              <w:rPr>
                <w:rFonts w:eastAsia="Times New Roman" w:cs="Times New Roman"/>
                <w:b/>
                <w:bCs/>
                <w:color w:val="000000"/>
                <w:sz w:val="24"/>
                <w:szCs w:val="24"/>
              </w:rPr>
              <w:t>Trung</w:t>
            </w:r>
            <w:proofErr w:type="spellEnd"/>
            <w:r w:rsidRPr="00C67D64">
              <w:rPr>
                <w:rFonts w:eastAsia="Times New Roman" w:cs="Times New Roman"/>
                <w:b/>
                <w:bCs/>
                <w:color w:val="000000"/>
                <w:sz w:val="24"/>
                <w:szCs w:val="24"/>
              </w:rPr>
              <w:t xml:space="preserve"> </w:t>
            </w:r>
            <w:proofErr w:type="spellStart"/>
            <w:r w:rsidRPr="00C67D64">
              <w:rPr>
                <w:rFonts w:eastAsia="Times New Roman" w:cs="Times New Roman"/>
                <w:b/>
                <w:bCs/>
                <w:color w:val="000000"/>
                <w:sz w:val="24"/>
                <w:szCs w:val="24"/>
              </w:rPr>
              <w:t>Hai</w:t>
            </w:r>
            <w:proofErr w:type="spellEnd"/>
          </w:p>
        </w:tc>
      </w:tr>
    </w:tbl>
    <w:p w14:paraId="57D1295A" w14:textId="77777777"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63C"/>
    <w:multiLevelType w:val="hybridMultilevel"/>
    <w:tmpl w:val="598CC952"/>
    <w:lvl w:ilvl="0" w:tplc="BAC81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D3EDD"/>
    <w:multiLevelType w:val="hybridMultilevel"/>
    <w:tmpl w:val="D9482D8C"/>
    <w:lvl w:ilvl="0" w:tplc="B1FCA1B4">
      <w:start w:val="1"/>
      <w:numFmt w:val="bullet"/>
      <w:lvlText w:val="−"/>
      <w:lvlJc w:val="left"/>
      <w:pPr>
        <w:ind w:left="360" w:hanging="360"/>
      </w:pPr>
      <w:rPr>
        <w:rFonts w:ascii="Avenir Light" w:hAnsi="Avenir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3C5864"/>
    <w:multiLevelType w:val="hybridMultilevel"/>
    <w:tmpl w:val="76D8C588"/>
    <w:lvl w:ilvl="0" w:tplc="B1FCA1B4">
      <w:start w:val="1"/>
      <w:numFmt w:val="bullet"/>
      <w:lvlText w:val="−"/>
      <w:lvlJc w:val="left"/>
      <w:pPr>
        <w:ind w:left="720" w:hanging="360"/>
      </w:pPr>
      <w:rPr>
        <w:rFonts w:ascii="Avenir Light" w:hAnsi="Avenir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E2997"/>
    <w:multiLevelType w:val="hybridMultilevel"/>
    <w:tmpl w:val="419EA4FC"/>
    <w:lvl w:ilvl="0" w:tplc="BAC81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26913"/>
    <w:multiLevelType w:val="hybridMultilevel"/>
    <w:tmpl w:val="A52E5BF2"/>
    <w:lvl w:ilvl="0" w:tplc="B1FCA1B4">
      <w:start w:val="1"/>
      <w:numFmt w:val="bullet"/>
      <w:lvlText w:val="−"/>
      <w:lvlJc w:val="left"/>
      <w:pPr>
        <w:ind w:left="720" w:hanging="360"/>
      </w:pPr>
      <w:rPr>
        <w:rFonts w:ascii="Avenir Light" w:hAnsi="Avenir Ligh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E09F2"/>
    <w:multiLevelType w:val="hybridMultilevel"/>
    <w:tmpl w:val="6D502578"/>
    <w:lvl w:ilvl="0" w:tplc="B1FCA1B4">
      <w:start w:val="1"/>
      <w:numFmt w:val="bullet"/>
      <w:lvlText w:val="−"/>
      <w:lvlJc w:val="left"/>
      <w:pPr>
        <w:ind w:left="720" w:hanging="360"/>
      </w:pPr>
      <w:rPr>
        <w:rFonts w:ascii="Avenir Light" w:hAnsi="Avenir Light" w:hint="default"/>
      </w:rPr>
    </w:lvl>
    <w:lvl w:ilvl="1" w:tplc="B1FCA1B4">
      <w:start w:val="1"/>
      <w:numFmt w:val="bullet"/>
      <w:lvlText w:val="−"/>
      <w:lvlJc w:val="left"/>
      <w:pPr>
        <w:ind w:left="360" w:hanging="360"/>
      </w:pPr>
      <w:rPr>
        <w:rFonts w:ascii="Avenir Light" w:hAnsi="Avenir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E10D6"/>
    <w:multiLevelType w:val="hybridMultilevel"/>
    <w:tmpl w:val="FE1AEA24"/>
    <w:lvl w:ilvl="0" w:tplc="B1FCA1B4">
      <w:start w:val="1"/>
      <w:numFmt w:val="bullet"/>
      <w:lvlText w:val="−"/>
      <w:lvlJc w:val="left"/>
      <w:pPr>
        <w:ind w:left="360" w:hanging="360"/>
      </w:pPr>
      <w:rPr>
        <w:rFonts w:ascii="Avenir Light" w:hAnsi="Avenir Light" w:hint="default"/>
      </w:rPr>
    </w:lvl>
    <w:lvl w:ilvl="1" w:tplc="1FBE352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E8699B"/>
    <w:multiLevelType w:val="hybridMultilevel"/>
    <w:tmpl w:val="0AFCA2A8"/>
    <w:lvl w:ilvl="0" w:tplc="8BB2D0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D38C0"/>
    <w:multiLevelType w:val="hybridMultilevel"/>
    <w:tmpl w:val="C4A4774A"/>
    <w:lvl w:ilvl="0" w:tplc="B1FCA1B4">
      <w:start w:val="1"/>
      <w:numFmt w:val="bullet"/>
      <w:lvlText w:val="−"/>
      <w:lvlJc w:val="left"/>
      <w:pPr>
        <w:ind w:left="360" w:hanging="360"/>
      </w:pPr>
      <w:rPr>
        <w:rFonts w:ascii="Avenir Light" w:hAnsi="Avenir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09745B"/>
    <w:multiLevelType w:val="hybridMultilevel"/>
    <w:tmpl w:val="CE9E1068"/>
    <w:lvl w:ilvl="0" w:tplc="B6A695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C4E2D"/>
    <w:multiLevelType w:val="hybridMultilevel"/>
    <w:tmpl w:val="DA14B4A4"/>
    <w:lvl w:ilvl="0" w:tplc="A6DE28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27371"/>
    <w:multiLevelType w:val="hybridMultilevel"/>
    <w:tmpl w:val="2ECA6796"/>
    <w:lvl w:ilvl="0" w:tplc="BAC81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67CB5"/>
    <w:multiLevelType w:val="hybridMultilevel"/>
    <w:tmpl w:val="F464486E"/>
    <w:lvl w:ilvl="0" w:tplc="B1FCA1B4">
      <w:start w:val="1"/>
      <w:numFmt w:val="bullet"/>
      <w:lvlText w:val="−"/>
      <w:lvlJc w:val="left"/>
      <w:pPr>
        <w:ind w:left="360" w:hanging="360"/>
      </w:pPr>
      <w:rPr>
        <w:rFonts w:ascii="Avenir Light" w:hAnsi="Avenir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97DC7"/>
    <w:multiLevelType w:val="hybridMultilevel"/>
    <w:tmpl w:val="D422D40C"/>
    <w:lvl w:ilvl="0" w:tplc="BAC81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72323D"/>
    <w:multiLevelType w:val="hybridMultilevel"/>
    <w:tmpl w:val="F454F150"/>
    <w:lvl w:ilvl="0" w:tplc="2264DCB6">
      <w:start w:val="1"/>
      <w:numFmt w:val="bullet"/>
      <w:lvlText w:val="−"/>
      <w:lvlJc w:val="left"/>
      <w:pPr>
        <w:ind w:left="357" w:hanging="357"/>
      </w:pPr>
      <w:rPr>
        <w:rFonts w:ascii="Avenir Light" w:hAnsi="Avenir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9E4B7A"/>
    <w:multiLevelType w:val="hybridMultilevel"/>
    <w:tmpl w:val="896C8866"/>
    <w:lvl w:ilvl="0" w:tplc="B1FCA1B4">
      <w:start w:val="1"/>
      <w:numFmt w:val="bullet"/>
      <w:lvlText w:val="−"/>
      <w:lvlJc w:val="left"/>
      <w:pPr>
        <w:ind w:left="360" w:hanging="360"/>
      </w:pPr>
      <w:rPr>
        <w:rFonts w:ascii="Avenir Light" w:hAnsi="Avenir Ligh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4"/>
  </w:num>
  <w:num w:numId="4">
    <w:abstractNumId w:val="1"/>
  </w:num>
  <w:num w:numId="5">
    <w:abstractNumId w:val="10"/>
  </w:num>
  <w:num w:numId="6">
    <w:abstractNumId w:val="8"/>
  </w:num>
  <w:num w:numId="7">
    <w:abstractNumId w:val="9"/>
  </w:num>
  <w:num w:numId="8">
    <w:abstractNumId w:val="6"/>
  </w:num>
  <w:num w:numId="9">
    <w:abstractNumId w:val="13"/>
  </w:num>
  <w:num w:numId="10">
    <w:abstractNumId w:val="0"/>
  </w:num>
  <w:num w:numId="11">
    <w:abstractNumId w:val="3"/>
  </w:num>
  <w:num w:numId="12">
    <w:abstractNumId w:val="12"/>
  </w:num>
  <w:num w:numId="13">
    <w:abstractNumId w:val="15"/>
  </w:num>
  <w:num w:numId="14">
    <w:abstractNumId w:val="1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C67D64"/>
    <w:rsid w:val="005D670C"/>
    <w:rsid w:val="0075239F"/>
    <w:rsid w:val="008E3502"/>
    <w:rsid w:val="009F6CA6"/>
    <w:rsid w:val="00C67D64"/>
    <w:rsid w:val="00C72B4C"/>
    <w:rsid w:val="00E2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C0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D64"/>
    <w:rPr>
      <w:color w:val="0000FF"/>
      <w:u w:val="single"/>
    </w:rPr>
  </w:style>
  <w:style w:type="paragraph" w:styleId="ListParagraph">
    <w:name w:val="List Paragraph"/>
    <w:basedOn w:val="Normal"/>
    <w:uiPriority w:val="34"/>
    <w:qFormat/>
    <w:rsid w:val="007523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1848</Words>
  <Characters>10540</Characters>
  <Application>Microsoft Macintosh Word</Application>
  <DocSecurity>0</DocSecurity>
  <Lines>87</Lines>
  <Paragraphs>24</Paragraphs>
  <ScaleCrop>false</ScaleCrop>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5</cp:revision>
  <dcterms:created xsi:type="dcterms:W3CDTF">2017-12-13T10:20:00Z</dcterms:created>
  <dcterms:modified xsi:type="dcterms:W3CDTF">2018-03-13T06:28:00Z</dcterms:modified>
</cp:coreProperties>
</file>